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Participating in the public iftar also highlighted the practice of zakat, a fundamental pillar of Islam that emphasizes charity and social responsibility. During the event, the collective effort to support those in need demonstrated the practical application of Islamic values in a communal setting. By witnessing firsthand the act of giving and receiving, the experience reinforced the importance of compassion and empathy as central tenets of being a Muslim today. This communal expression of faith through charitable actions provided a tangible connection to the broader Muslim community, reflecting the shared commitment to social welfare and justice. The practice of zakat, as integrated into the public iftar, illustrates how cultural and religious values are lived and expressed in contemporary society, enhancing the understanding of Muslim identity through active engagement and contribution (Ref-s321612).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