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effectively address the financial perspective within C&amp;KM's balanced scorecard, it is essential to establish criteria that focus on cost reduction and revenue growth targets. Implementing key performance indicators (KPIs) aligned with Industry 4.0 principles can provide the necessary framework for achieving these financial objectives (Brown and Garcia). Cost reduction initiatives should include the integration of smart manufacturing technologies, such as IoT and AI, which can optimize resource allocation and minimize inefficiencies in production processes. Additionally, revenue growth can be pursued by enhancing product quality through continuous process improvements, thereby increasing customer satisfaction and market share. By adopting a balanced scorecard approach that incorporates these financial metrics, C&amp;KM will be better positioned to align its operational strategies with overarching business goals, ultimately leading to improved financial performance and competitive advantage in the market (Brown and Garcia).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