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biological component of the biopsychosocial spiritual assessment focuses on evaluating physical health factors that contribute to an individual's overall well-being. This includes examining medical history, current health conditions, genetic predispositions, and physiological markers such as blood pressure and cholesterol levels. By understanding these physical aspects, healthcare professionals can better identify potential health risks and develop personalized treatment plans that address the individual's unique biological needs. Additionally, the integration of biological and religious or spiritual factors has been shown to influence health outcomes, suggesting that these dimensions can interact and enhance the effectiveness of care (Ref-s824024). This comprehensive evaluation underscores the necessity of considering biological factors within the broader context of the biopsychosocial spiritual framework, ensuring a more complete picture of health that goes beyond traditional medical assessments.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