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AA Capital Partners case illustrates the challenges faced by Ernst &amp; Young in auditing related-party transactions, which significantly contributed to their oversight failures. These transactions, which involved questionable financial dealings with John Orecchio, were not adequately scrutinized, resulting in misappropriation of client funds (Pearse et al. 117). The lack of thorough investigation into these transactions highlighted a gap in the audit procedures employed by Ernst &amp; Young, ultimately leading to substantial financial losses for the clients involved. This oversight not only violated federal securities laws but also underscored the need for stringent adherence to auditing standards to prevent similar future occurrences. Consequently, the financial implications of these oversights were severe, prompting regulatory scrutiny and legal repercussions for both AA Capital Partners and its auditors (Pearse et al. 117).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