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case study involves a 32-year-old male and a 28-year-old female, both diagnosed with Chlamydia trachomatis, presenting with distinct symptoms and shared behavioral risk factors. The male patient reported symptoms including pelvic pain, urinary urgency, and fever, alongside a history of acute prostatitis, which could potentially exacerbate his current condition. Meanwhile, the female patient experienced lower abdominal pain and abnormal vaginal discharge, symptoms commonly associated with chlamydial infections. Both individuals reported inconsistent use of protection and multiple sexual partners, factors known to increase the risk of sexually transmitted infections, such as Chlamydia trachomatis (Ref-f266169). Understanding the interplay between these symptoms and behavioral histories provides insight into the challenges of managing and preventing chlamydial infections in sexually active populations.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