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Despite the comprehensive guidelines of the Nuremberg Code, unethical medical practices persist today. Kostoff's analysis points to several factors, including insufficient enforcement and evolving technologies, which complicate adherence to ethical standards (Ref-f252521). Systemic issues, such as racism and inequality, further undermine these standards, highlighting gaps in the Code's application. The medical community might address these challenges by promoting rigorous ethical oversight and fostering international collaboration. Peers might explore potential reforms or educational strategies that could reinforce the Code's principles, such as integrating ethics training in medical curricula or establishing global ethical review boards to ensure consistent application of ethical guidelines across diverse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