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necessity for educational reform is underscored by the prevailing inadequacies within current educational structures. Many systems remain rooted in outdated pedagogical methods, which fail to cater to the diverse learning needs of modern students. As society progresses and the demands of the workforce evolve, so too must the methodologies and curricula that shape future generations. Reform is not solely about altering educational content; it involves rethinking the entire educational experience to prioritize critical thinking, creativity, and adaptability. By embracing reform, educational institutions can better equip students with the skills necessary to thrive in a rapidly changing world, addressing both immediate and long-term educational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