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Trompenaars’ Model offers a nuanced perspective on the cultural disparities between U.S. and Thai societies, particularly focusing on universalism versus particularism and achievement versus ascription. Universalism, which is prevalent in American culture, emphasizes the application of consistent rules and standards, whereas Thai culture leans towards particularism, where context and relationships heavily influence decision-making processes (Ref-u480496). This divergence impacts how contracts are interpreted and how negotiations are conducted, with Americans typically adhering to written agreements and Thais valuing flexibility and adaptation to circumstances. Additionally, the achievement versus ascription dimension highlights further contrasts; the United States often rewards individuals based on accomplishments and performance, whereas Thailand places significant value on ascribed status, such as age and social connections, influencing professional hierarchies and advancement opportunities. Understanding these differences through Trompenaars’ Model underscores the importance of adapting business strategies to align with cultural expectations in diverse environments (Ref-u480496).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