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Second Amendment of the United States Constitution is often cited as a foundational safeguard for individual gun ownership, yet its implications for public health remain hotly debated. This constitutional protection complicates the creation of effective gun violence prevention policies, as any regulatory measures must navigate the delicate balance between public safety and constitutional rights (Johnson). The challenge lies in aligning gun control reforms with broader societal and economic changes, which can impact public health outcomes (Johnson). Furthermore, the effectiveness of gun violence prevention policies is often hindered by the variability in state-level firearm laws, as states with lenient laws can negatively influence neighboring states with stricter regulations (Johnson). As such, coordinated legislative efforts that respect constitutional protections while addressing public health concerns are essential for effective policy development across state lines (Johnson).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