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Similarly, the Louisiana shoreline serves as a poignant example of climate-driven erosion, with significant socio-cultural ramifications for local communities. The region faces severe land loss exacerbated by rising sea levels and increased storm intensity, leading to the displacement of indigenous populations and the erosion of cultural heritage (Ref-f457545). The degradation of coastal lands not only threatens physical habitats but also disrupts traditional practices and community bonds integral to the identity of these populations. Efforts to address these challenges have highlighted the necessity for community-led adaptation strategies that respect and preserve cultural identity while mitigating environmental impacts (Ref-f457545). Governmental and policy initiatives must prioritize comprehensive adaptation and relocation plans that incorporate cultural preservation, emphasizing the need for proactive measures to support the resilience of these vulnerable communities against ongoing environmental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