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Moreover, public-private partnerships play a crucial role in the successful implementation and maintenance of urban green spaces. These collaborations can alleviate financial burdens on municipal budgets by leveraging private investments for the development and upkeep of green infrastructure. For instance, Jabbar et al. highlight that well-managed green spaces, funded through such partnerships, can enhance environmental well-being by improving air quality and supporting biodiversity (Ref-f133256). These partnerships not only provide financial resources but also foster innovative solutions and community engagement, resulting in sustainable urban development. By integrating the expertise and resources of both public and private sectors, cities can create multifunctional green spaces that address air pollution effectively and promote human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