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exploration of self-care implications for Sarah Collins, a patient with chronic kidney disease, highlights the intricate balance required to manage her physical limitations and emotional well-being. Her condition severely impacts her physiological and safety needs, necessitating a well-coordinated approach to her healthcare involving both her family and professional caregivers. The support from her family, particularly her husband and grandson, plays a vital role in addressing her psychological and social needs, fostering an environment conducive to her healing process. Furthermore, access to community resources enhances her self-care capabilities, providing critical support and education. Ultimately, the collective efforts of Sarah's family, healthcare providers, and community services underscore the necessity of a comprehensive care strategy, ensuring her short-term and long-term health needs are adequately met, and enhancing her overall quality of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