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aftermath of the XYZ Corporation fraud presents a compelling case for implementing early intervention strategies to mitigate such risks. The fraud caused significant damage not only to the company's financial standing but also to its reputation with stakeholders, including investors and employees. To constrain such fraud, the company could have adopted stronger regulatory compliance measures and enhanced whistleblower protections to encourage internal reporting of unethical behavior (Ref-u048893). Aligning with course discussions on market-based penalties, these actions could serve as deterrents by increasing the perceived risk of detection and punishment. Engaging with stakeholders to develop a culture of transparency and integrity further supports these preventative measures.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