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Economic recovery efforts following the Eurozone crisis have played a pivotal role in reshaping the European Union's (EU) foundational narrative. The implementation of recovery strategies, such as the European Stability Mechanism and the Banking Union, aimed to bolster financial stability and restore confidence in the EU's economic governance (Ref-u596538). These initiatives have sought to mitigate the crisis's impact by promoting fiscal solidarity and enhancing the resilience of member states' economies, thereby attempting to realign the EU's narrative with its foundational principles of unity and prosperity. However, the varied success of these measures has highlighted ongoing disparities and has prompted debates over the effectiveness of centralized economic interventions (Ref-u596538). As a result, the EU's foundational myth has been recalibrated to emphasize economic resilience and cooperation, although challenges remain in achieving equitable growth across its diverse membership.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