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contemporary global landscape is characterized by rapid technological advancements and increased globalization, leading to profound shifts in job markets worldwide. Technological innovations, particularly those associated with the Fourth Industrial Revolution, are transforming industries and altering the skills needed for workforce success (Ref-u591588). Globalization has further intensified competition and collaboration across borders, necessitating a workforce that is not only skilled but also culturally competent and adaptable. These changes demand a reevaluation of workforce strategies, as businesses must now prioritize digital literacy, critical thinking, and continuous learning to remain competitive (Ref-u591588). As the world continues to evolve, understanding and adapting to these shifts will be crucial for both educational institutions and future professionals in meeting the demands of an increasingly complex and interconnected global economy.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