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Transparency and accuracy in reporting AI-driven training outcomes to stakeholders are essential for maintaining organizational credibility and trust. Accurate reporting allows stakeholders to evaluate the effectiveness of AI initiatives, ensuring that the investments align with strategic objectives (Ref-f681431). Furthermore, transparency in AI-related reporting facilitates informed decision-making, as stakeholders can access clear and concise information about the impact of training programs on employee performance and organizational goals. This transparency also supports compliance with regulatory requirements that increasingly demand detailed disclosures of AI activities and their implications (Ref-f681431). Consequently, organizations must adopt robust reporting frameworks that highlight both successes and challenges, fostering a culture of accountability and continuous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