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Doctrine</w:t>
      </w:r>
      <w:r>
        <w:t xml:space="preserve"> </w:t>
      </w:r>
      <w:r>
        <w:t xml:space="preserve">of</w:t>
      </w:r>
      <w:r>
        <w:t xml:space="preserve"> </w:t>
      </w:r>
      <w:r>
        <w:t xml:space="preserve">Biblical</w:t>
      </w:r>
      <w:r>
        <w:t xml:space="preserve"> </w:t>
      </w:r>
      <w:r>
        <w:t xml:space="preserve">Inerrancy</w:t>
      </w:r>
      <w:r>
        <w:t xml:space="preserve"> </w:t>
      </w:r>
      <w:r>
        <w:t xml:space="preserve">in</w:t>
      </w:r>
      <w:r>
        <w:t xml:space="preserve"> </w:t>
      </w:r>
      <w:r>
        <w:t xml:space="preserve">Contemporary</w:t>
      </w:r>
      <w:r>
        <w:t xml:space="preserve"> </w:t>
      </w:r>
      <w:r>
        <w:t xml:space="preserve">Theology</w:t>
      </w:r>
    </w:p>
    <w:bookmarkStart w:id="20" w:name="discussion-post"/>
    <w:p>
      <w:pPr>
        <w:pStyle w:val="Heading2"/>
      </w:pPr>
      <w:r>
        <w:t xml:space="preserve">Discussion post</w:t>
      </w:r>
    </w:p>
    <w:p>
      <w:pPr>
        <w:pStyle w:val="FirstParagraph"/>
      </w:pPr>
      <w:r>
        <w:t xml:space="preserve">The concept of biblical inerrancy, as discussed by Erickson, is foundational to understanding the authority of Scripture within the contemporary church. Erickson defines inerrancy as the belief that the Bible, in its original manuscripts, is without error and fault in all its teachings</w:t>
      </w:r>
      <w:r>
        <w:t xml:space="preserve"> </w:t>
      </w:r>
      <w:r>
        <w:t xml:space="preserve">(Stewart, 2019)</w:t>
      </w:r>
      <w:r>
        <w:t xml:space="preserve">. This doctrine holds theological significance as it underpins the reliability of Scripture and its authority in guiding faith and practice. The Chicago Statement on Biblical Inerrancy further affirms this by articulating a series of affirmations and denials, asserting that Scripture is true in all it asserts, whether in matters of faith or factual reporting</w:t>
      </w:r>
      <w:r>
        <w:t xml:space="preserve"> </w:t>
      </w:r>
      <w:r>
        <w:t xml:space="preserve">(Stewart, 2019)</w:t>
      </w:r>
      <w:r>
        <w:t xml:space="preserve">. These foundational ideas highlight the importance of inerrancy in maintaining the integrity of biblical interpretation, setting the stage for exploring its relevance in today's church.</w:t>
      </w:r>
    </w:p>
    <w:p>
      <w:pPr>
        <w:pStyle w:val="BodyText"/>
      </w:pPr>
      <w:r>
        <w:t xml:space="preserve">The role of inerrancy in the modern church is a subject of considerable debate. A Stewart provides a historical and evangelical perspective, noting that the understanding of inerrancy has evolved over time, with contemporary theology often challenging its traditional assertions</w:t>
      </w:r>
      <w:r>
        <w:t xml:space="preserve"> </w:t>
      </w:r>
      <w:r>
        <w:t xml:space="preserve">(Taloș, no date)</w:t>
      </w:r>
      <w:r>
        <w:t xml:space="preserve">. Stewart argues that while some view inerrancy as a non-negotiable tenet, others see it as an impediment to understanding the Bible's deeper spiritual truths. CI Taloș contributes by examining the interplay between inerrancy and divine love, suggesting a balanced view that respects both the divinity and humanity of Scripture</w:t>
      </w:r>
      <w:r>
        <w:t xml:space="preserve"> </w:t>
      </w:r>
      <w:r>
        <w:t xml:space="preserve">(Taloș, no date)</w:t>
      </w:r>
      <w:r>
        <w:t xml:space="preserve">. This balanced approach encourages a nuanced understanding of inerrancy, prompting reflection on how this doctrine influences faith practice and theological education in a diverse and evolving church landscape.</w:t>
      </w:r>
    </w:p>
    <w:p>
      <w:pPr>
        <w:pStyle w:val="BodyText"/>
      </w:pPr>
      <w:r>
        <w:t xml:space="preserve">A critical evaluation of biblical inerrancy, as presented by D Linscomb, raises questions about its practical application, especially in the face of problem passages that challenge a literal interpretation</w:t>
      </w:r>
      <w:r>
        <w:t xml:space="preserve"> </w:t>
      </w:r>
      <w:r>
        <w:t xml:space="preserve">(Linscomb, 2019)</w:t>
      </w:r>
      <w:r>
        <w:t xml:space="preserve">. Linscomb explores various views on inerrancy, suggesting that while it remains a central tenet for some, others advocate for a more flexible approach to scriptural interpretation. This discussion impacts hermeneutics, as rigid adherence to inerrancy may hinder open dialogue and theological diversity within faith communities. Engaging with these counterarguments invites us to reconsider the role of inerrancy, exploring whether it should adapt to remain relevant, aligning with broader course themes of scriptural interpretation and theological pluralism.</w:t>
      </w:r>
    </w:p>
    <w:bookmarkEnd w:id="20"/>
    <w:bookmarkStart w:id="21" w:name="reference-list"/>
    <w:bookmarkEnd w:id="21"/>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Doctrine of Biblical Inerrancy in Contemporary Theology</dc:title>
  <dc:creator/>
  <dc:language>en</dc:language>
  <cp:keywords/>
  <dcterms:created xsi:type="dcterms:W3CDTF">2025-02-03T10:13:32Z</dcterms:created>
  <dcterms:modified xsi:type="dcterms:W3CDTF">2025-02-03T10:13:32Z</dcterms:modified>
</cp:coreProperties>
</file>

<file path=docProps/custom.xml><?xml version="1.0" encoding="utf-8"?>
<Properties xmlns="http://schemas.openxmlformats.org/officeDocument/2006/custom-properties" xmlns:vt="http://schemas.openxmlformats.org/officeDocument/2006/docPropsVTypes"/>
</file>