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Audit Analysis: The AA Capital Partners Case</w:t>
      </w:r>
    </w:p>
    <w:p>
      <w:r>
        <w:t>Introduction</w:t>
      </w:r>
    </w:p>
    <w:p>
      <w:r>
        <w:t>The AA Capital Partners audit case represents a significant episode in the auditing profession, highlighting critical issues encountered by Ernst &amp; Young during their 2004 engagement. At the core of these challenges were oversights in identifying and addressing related-party transactions, a lapse that resulted in substantial financial discrepancies. This case underscores the importance of adhering to auditing standards, particularly when evaluating the reliability of a client's financial statements and internal controls. The inability to detect fraudulent activities not only compromised the integrity of the audit but also exposed weaknesses in the audit procedures employed by Ernst &amp; Young. Consequently, this case provides a valuable learning opportunity for audit firms to refine their methodologies and enhance their vigilance in future engagements.</w:t>
      </w:r>
    </w:p>
    <w:p>
      <w:r>
        <w:t>Summary of Case</w:t>
      </w:r>
    </w:p>
    <w:p>
      <w:r>
        <w:t>The AA Capital Partners case illustrates the challenges faced by Ernst &amp; Young in auditing related-party transactions, which significantly contributed to their oversight failures. These transactions, which involved questionable financial dealings with John Orecchio, were not adequately scrutinized, resulting in misappropriation of client funds (Pearse et al. 117). The lack of thorough investigation into these transactions highlighted a gap in the audit procedures employed by Ernst &amp; Young, ultimately leading to substantial financial losses for the clients involved. This oversight not only violated federal securities laws but also underscored the need for stringent adherence to auditing standards to prevent similar future occurrences. Consequently, the financial implications of these oversights were severe, prompting regulatory scrutiny and legal repercussions for both AA Capital Partners and its auditors (Pearse et al. 117).</w:t>
      </w:r>
    </w:p>
    <w:p>
      <w:r>
        <w:t>Response to Case Questions</w:t>
      </w:r>
    </w:p>
    <w:p>
      <w:r>
        <w:t>Several factors contributed to the oversight failures of Ernst &amp; Young auditors during the AA Capital engagement. Primarily, the lack of rigorous scrutiny into related-party transactions facilitated a lapse in detecting financial irregularities involving John Orecchio (Ref-u785390). Additionally, inadequate reliance on comprehensive audit procedures, which could have identified these transactions, further exacerbated the oversight. To minimize such occurrences in future audits, firms should implement enhanced training programs focused on related-party transaction identification and evaluation, ensuring auditors are equipped with the necessary skills to uncover complex financial activities. Furthermore, adopting advanced technological tools, such as deep learning algorithms, can aid in the reassessment of control risks, thereby strengthening the auditors' ability to detect fraudulent activities (Ref-u785390).</w:t>
      </w:r>
    </w:p>
    <w:p>
      <w:r>
        <w:t>Ernst &amp; Young's decision not to rely on AA Capital's internal controls can be evaluated through the lens of audit risk and control effectiveness. The appropriateness of this decision hinges on the auditors' assessment of the reliability and robustness of the internal control system at the time (Ref-u918096). If auditors determine that internal controls are ineffective or inadequately designed, they may choose to perform additional substantive testing rather than rely on these controls. Situations where auditors might opt not to rely on a client's internal controls include cases of significant control deficiencies, prior history of control failures, or when new systems have been recently implemented and are not yet fully tested (Ref-u918096). By eschewing reliance on AA Capital's controls, Ernst &amp; Young aimed to mitigate audit risk through more direct verification methods, although this approach requires a careful balance to manage audit costs and efficiency.</w:t>
      </w:r>
    </w:p>
    <w:p>
      <w:r>
        <w:t>In the context of auditing related-party transactions, specific procedures are essential to ensure transparency and adherence to standards. Key procedures include the identification of related parties, understanding the nature of relationships, and assessing the economic rationale behind transactions (Ref-s088860). These steps are crucial for auditors like Ernst &amp; Young, as they provide insights into potential conflicts of interest and financial misappropriations. In the AA Capital case, implementing these procedures could have uncovered irregularities in cash transfers to John Orecchio by revealing discrepancies in transaction justifications or tracing funds to unauthorized uses (Ref-s088860). Consequently, a more rigorous application of these audit techniques might have mitigated the oversight and prevented financial losses.</w:t>
      </w:r>
    </w:p>
    <w:p>
      <w:r>
        <w:t>Subsequent period audit tests aim to provide assurance that financial statements continue to reflect an entity's financial position accurately after the balance sheet date. These tests ensure that any significant post-balance-sheet events are identified and properly disclosed, maintaining the integrity and reliability of the financial statements (Ref-f766833). In considering whether all decisions during an engagement should be defended, it is prudent to acknowledge the necessity for auditors to justify their professional judgments. However, rigidly defending all decisions without consideration of evolving circumstances could hinder an audit firm's capacity for quality control improvements. Consequently, audit firms should balance defending decisions with a commitment to ongoing learning and adaptation, thereby fostering an environment that encourages both accountability and enhancement of audit practices.</w:t>
      </w:r>
    </w:p>
    <w:p>
      <w:r>
        <w:t>Statement of Biblical Worldview</w:t>
      </w:r>
    </w:p>
    <w:p>
      <w:r>
        <w:t>Applying a Biblical worldview to the AA Capital audit case emphasizes the ethical and moral responsibilities of auditors in their professional conduct. The Bible underscores the importance of integrity and honesty, as seen in Proverbs 11:1, which states, "A false balance is an abomination to the Lord, but a just weight is his delight." This verse highlights the necessity for auditors to maintain accuracy and fairness in their evaluations, ensuring that financial statements genuinely reflect an entity's financial status. Upholding these values requires auditors to diligently apply auditing standards and remain vigilant against deceptive practices. By integrating these Biblical principles, auditing professionals can foster an environment of trust and accountability, thereby enhancing the overall credibility of the financial reporting process (Smith,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