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Mary's Trauma Case Study Analysis</w:t>
      </w:r>
    </w:p>
    <w:p>
      <w:r>
        <w:t>Utilizing the Trauma Lens with Mary</w:t>
      </w:r>
    </w:p>
    <w:p>
      <w:r>
        <w:t>Applying the trauma lens to Mary's case offers two distinct benefits, facilitating a comprehensive understanding and tailored interventions. Firstly, this perspective allows practitioners to identify the underlying causes of her behaviors, such as difficulties with concentration and trust issues in her marriage. By recognizing these as manifestations of past trauma, strategies can be developed that are sensitive to her history of abuse, thereby promoting her healing process (Ref-f426329). Secondly, the trauma lens enables a supportive environment that prioritizes safety and trust, crucial elements for Mary who feels threatened despite her father's physical absence. This approach not only addresses her immediate emotional and relational needs but also assists in building resilience, empowering her to navigate the complexities of her familial relationships. Through these benefits, the trauma lens serves as a crucial framework for supporting Mary's journey towards recovery and well-being.</w:t>
      </w:r>
    </w:p>
    <w:p>
      <w:r>
        <w:t>The Trauma Iceberg Analysis</w:t>
      </w:r>
    </w:p>
    <w:p>
      <w:r>
        <w:t>Analyzing Mary's situation through the trauma iceberg model reveals several layers of her psychological and relational challenges. On the surface, her outward behaviors include difficulties with concentration and a pervasive sense of hopelessness regarding her roles as a mother and wife. Beneath these behaviors, two areas of emotional health are significantly affected: her struggle with trust, particularly in her marriage, and her ongoing fear regarding her father's presence, despite his physical absence. In terms of relational health, Mary experiences distant relationships with her siblings and a lack of emotional closeness with her counselor, as evident in her discomfort during past counseling (Brown &amp; Garcia, 2018). By understanding these multifaceted impacts, practitioners can tailor interventions that address both the visible behaviors and the underlying emotional and relational health issues, thereby facilitating a more holistic approach to her healing journey.</w:t>
      </w:r>
    </w:p>
    <w:p>
      <w:r>
        <w:t>Connection Between ACES and Trauma</w:t>
      </w:r>
    </w:p>
    <w:p>
      <w:r>
        <w:t>The relationship between Adverse Childhood Experiences (ACES) and trauma is well-documented, with ACEs serving as significant precursors to trauma development. Research has shown that exposure to adverse experiences in childhood, such as physical or sexual abuse, can lead to profound disruptions in neurological and emotional development (Pearse et al. 117). These disruptions often manifest in adulthood as difficulties in emotional regulation, trust, and relational dynamics, as seen in Mary's struggles with concentration and her marital trust issues. The cumulative effect of ACEs, compounded by factors such as the absence of a supportive family environment, intensifies the psychological impact, making recovery more challenging (Pearse et al. 117). Understanding the connection between ACEs and trauma is crucial for practitioners working with individuals like Mary, as it informs the development of targeted interventions that address both the immediate and long-term effects of early adversity.</w:t>
      </w:r>
    </w:p>
    <w:p>
      <w:r>
        <w:t>Among the various Adverse Childhood Experiences (ACES) that have significantly contributed to Mary's trauma, three specific experiences stand out: physical abuse, sexual abuse, and her father's recurrent absence due to public intoxication. The physical and sexual abuse perpetrated by her father not only inflicted immediate harm but also disrupted Mary's emotional and psychological development, leading to her current struggles with trust and concentration (Nguyen, 2015). Additionally, her father's frequent absence left the family without essential resources, which not only heightened feelings of insecurity and instability but also exacerbated her sense of abandonment. These adverse experiences collectively created an environment where Mary was deprived of the supportive familial interactions necessary for healthy emotional development (Nguyen, 2015). Consequently, understanding these specific ACES is crucial for practitioners as they develop interventions that address both Mary's historical trauma and its ongoing impact on her emotional and relational health.</w:t>
      </w:r>
    </w:p>
    <w:p>
      <w:r>
        <w:t>Identifying Triggers for Mary</w:t>
      </w:r>
    </w:p>
    <w:p>
      <w:r>
        <w:t>Mary's history of trauma has likely left her sensitive to specific triggers that can exacerbate her emotional distress. One such triggering experience could be interactions that remind her of her father's abusive behavior, as these may evoke feelings of danger and mistrust, particularly in her marital relationship (Ref-u482186). This sense of threat could be heightened during moments of conflict or when her husband's behaviors unintentionally mirror those of her father. Additionally, environments or situations where she feels isolated or unsupported, such as when her father's absence left her family without resources, may trigger feelings of abandonment and hopelessness. Recognizing these triggers is essential for developing effective strategies that support Mary's emotional regulation and promote a safe therapeutic environment, enabling her to navigate the complexities of her trauma without re-traumatization (Ref-u482186).</w:t>
      </w:r>
    </w:p>
    <w:p>
      <w:r>
        <w:t>Applying Trauma Principles</w:t>
      </w:r>
    </w:p>
    <w:p>
      <w:r>
        <w:t>Implementing trauma-informed principles in working with Mary can significantly aid her healing process by fostering safety, empowerment, and a sense of agency. First, the principle of establishing physical and emotional safety is crucial, as Mary needs an environment where she feels secure and supported, particularly given her history of abuse (Ref-u615083). By creating a safe space, Mary can begin to trust the therapeutic process, allowing her to engage more openly and effectively in her healing journey. Second, the principle of collaboration and mutuality emphasizes the importance of involving Mary in decision-making, thereby empowering her to regain control over aspects of her life that trauma has disrupted (Ref-u615083). Lastly, the principle of cultural, historical, and gender considerations ensures that interventions are tailored to Mary's unique background and experiences, fostering a deeper connection and understanding between Mary and her therapist, which is essential for her recovery.</w:t>
      </w:r>
    </w:p>
    <w:p>
      <w:r>
        <w:t>Understanding Vicarious Trauma</w:t>
      </w:r>
    </w:p>
    <w:p>
      <w:r>
        <w:t>Vicarious trauma refers to the psychological impact experienced by human services professionals who work closely with trauma survivors, absorbing distressing emotions and experiences over time. This phenomenon can manifest as disruptions in cognitive functioning, where professionals may develop intrusive thoughts or altered worldviews similar to those of the individuals they support (Ref-f271875). Additionally, vicarious trauma can lead to emotional exhaustion, contributing to a decrease in empathetic engagement and an increase in professional burnout (Ref-f271875). Awareness of vicarious trauma is vital in practice, as it enables professionals to implement strategies that maintain their well-being while providing effective care. By recognizing the signs of vicarious trauma, professionals can seek appropriate support and employ self-care techniques, ensuring sustained resilience and the capacity to assist individuals like Mary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