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and</w:t>
      </w:r>
      <w:r>
        <w:t xml:space="preserve"> </w:t>
      </w:r>
      <w:r>
        <w:t xml:space="preserve">Legacy</w:t>
      </w:r>
      <w:r>
        <w:t xml:space="preserve"> </w:t>
      </w:r>
      <w:r>
        <w:t xml:space="preserve">of</w:t>
      </w:r>
      <w:r>
        <w:t xml:space="preserve"> </w:t>
      </w:r>
      <w:r>
        <w:t xml:space="preserve">the</w:t>
      </w:r>
      <w:r>
        <w:t xml:space="preserve"> </w:t>
      </w:r>
      <w:r>
        <w:t xml:space="preserve">Nuremberg</w:t>
      </w:r>
      <w:r>
        <w:t xml:space="preserve"> </w:t>
      </w:r>
      <w:r>
        <w:t xml:space="preserve">Trials</w:t>
      </w:r>
      <w:r>
        <w:t xml:space="preserve"> </w:t>
      </w:r>
      <w:r>
        <w:t xml:space="preserve">on</w:t>
      </w:r>
      <w:r>
        <w:t xml:space="preserve"> </w:t>
      </w:r>
      <w:r>
        <w:t xml:space="preserve">Research</w:t>
      </w:r>
      <w:r>
        <w:t xml:space="preserve"> </w:t>
      </w:r>
      <w:r>
        <w:t xml:space="preserve">Ethics</w:t>
      </w:r>
    </w:p>
    <w:bookmarkStart w:id="20" w:name="discussion-post"/>
    <w:p>
      <w:pPr>
        <w:pStyle w:val="Heading2"/>
      </w:pPr>
      <w:r>
        <w:t xml:space="preserve">Discussion post</w:t>
      </w:r>
    </w:p>
    <w:p>
      <w:pPr>
        <w:pStyle w:val="FirstParagraph"/>
      </w:pPr>
      <w:r>
        <w:t xml:space="preserve">The Nuremberg Trials were pivotal in shaping modern medical ethics by rejecting the defense of "following orders" and holding medical professionals accountable for their actions. According to Deutsch, the rejection of this defense established the Nuremberg Code as a foundational ethical framework, emphasizing personal responsibility in medical practices</w:t>
      </w:r>
      <w:r>
        <w:t xml:space="preserve"> </w:t>
      </w:r>
      <w:r>
        <w:t xml:space="preserve">(Deutsch, 2019)</w:t>
      </w:r>
      <w:r>
        <w:t xml:space="preserve">. This accountability has significantly influenced contemporary medical ethics, particularly the principle of informed consent. By setting a precedent that individuals in hierarchical structures must be responsible for their actions, the trials have encouraged a culture of ethical transparency. As we consider modern ethical dilemmas, it becomes crucial to discuss how these principles apply today and whether similar accountability could address contemporary issues, like data privacy in medical research.</w:t>
      </w:r>
    </w:p>
    <w:p>
      <w:pPr>
        <w:pStyle w:val="BodyText"/>
      </w:pPr>
      <w:r>
        <w:t xml:space="preserve">The directive from the Nuremberg Code that prioritizes voluntary consent is crucial in preventing unethical human experimentation. Weindling highlights this emphasis on consent as a cornerstone of research ethics</w:t>
      </w:r>
      <w:r>
        <w:t xml:space="preserve"> </w:t>
      </w:r>
      <w:r>
        <w:t xml:space="preserve">(Weindling, 2022)</w:t>
      </w:r>
      <w:r>
        <w:t xml:space="preserve">. Historically, the absence of genuine consent has led to unethical practices, such as the Tuskegee Syphilis Study, underscoring the importance of this directive. In contemporary settings, ensuring consent remains a challenge, especially within vulnerable populations who may face coercion. This directive empowers individuals, safeguarding them from unethical practices. Engaging with this principle, one might consider how it could be strengthened globally, perhaps through enhanced regulatory frameworks that ensure transparency and protect participant autonomy in international research contexts.</w:t>
      </w:r>
    </w:p>
    <w:p>
      <w:pPr>
        <w:pStyle w:val="BodyText"/>
      </w:pPr>
      <w:r>
        <w:t xml:space="preserve">Despite the comprehensive guidelines of the Nuremberg Code, unethical medical practices persist today. Kostoff's analysis points to several factors, including insufficient enforcement and evolving technologies, which complicate adherence to ethical standards</w:t>
      </w:r>
      <w:r>
        <w:t xml:space="preserve"> </w:t>
      </w:r>
      <w:r>
        <w:t xml:space="preserve">(Kostoff, 2020)</w:t>
      </w:r>
      <w:r>
        <w:t xml:space="preserve">. Systemic issues, such as racism and inequality, further undermine these standards, highlighting gaps in the Code's application. The medical community might address these challenges by promoting rigorous ethical oversight and fostering international collaboration. Peers might explore potential reforms or educational strategies that could reinforce the Code's principles, such as integrating ethics training in medical curricula or establishing global ethical review boards to ensure consistent application of ethical guidelines across diverse contexts.</w:t>
      </w:r>
    </w:p>
    <w:bookmarkEnd w:id="20"/>
    <w:bookmarkStart w:id="21" w:name="references"/>
    <w:bookmarkEnd w:id="21"/>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and Legacy of the Nuremberg Trials on Research Ethics</dc:title>
  <dc:creator/>
  <dc:language>en</dc:language>
  <cp:keywords/>
  <dcterms:created xsi:type="dcterms:W3CDTF">2025-02-03T15:10:13Z</dcterms:created>
  <dcterms:modified xsi:type="dcterms:W3CDTF">2025-02-03T15:10:13Z</dcterms:modified>
</cp:coreProperties>
</file>

<file path=docProps/custom.xml><?xml version="1.0" encoding="utf-8"?>
<Properties xmlns="http://schemas.openxmlformats.org/officeDocument/2006/custom-properties" xmlns:vt="http://schemas.openxmlformats.org/officeDocument/2006/docPropsVTypes"/>
</file>