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Exploring Financial Misconduct and the Fraud Triangle: A Recent Case Analysis</w:t>
      </w:r>
    </w:p>
    <w:p>
      <w:r>
        <w:t>Discussion post</w:t>
      </w:r>
    </w:p>
    <w:p>
      <w:r>
        <w:t>In examining the recent case of financial fraud involving XYZ Corporation, we can clearly identify the three ingredients of the fraud triangle: opportunity, pressure, and rationalization. The company's lack of internal controls provided the opportunity for the CFO to manipulate financial statements over several years (Ref-u231817). Significant personal financial pressure due to lifestyle expenses contributed to the motivation behind the misconduct. Rationalization was evident as the CFO believed inflating profits would eventually stabilize the company's stock value, benefiting all stakeholders. This fraud resulted in a substantial loss in shareholder value and diminished employee trust, highlighting the critical need for robust internal auditing processes. The course material on financial misconduct emphasizes the importance of understanding these elements to prevent similar occurrences.</w:t>
      </w:r>
    </w:p>
    <w:p>
      <w:r>
        <w:t>The aftermath of the XYZ Corporation fraud presents a compelling case for implementing early intervention strategies to mitigate such risks. The fraud caused significant damage not only to the company's financial standing but also to its reputation with stakeholders, including investors and employees. To constrain such fraud, the company could have adopted stronger regulatory compliance measures and enhanced whistleblower protections to encourage internal reporting of unethical behavior (Ref-u048893). Aligning with course discussions on market-based penalties, these actions could serve as deterrents by increasing the perceived risk of detection and punishment. Engaging with stakeholders to develop a culture of transparency and integrity further supports these preventative measures.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