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Comprehensive Overview of Diabetes Mellitus: Symptoms, Treatment, and Historical Progression</w:t>
      </w:r>
    </w:p>
    <w:p>
      <w:r>
        <w:t>Definition and Symptoms</w:t>
      </w:r>
    </w:p>
    <w:p>
      <w:r>
        <w:t>Diabetes mellitus is a chronic metabolic condition characterized by elevated blood glucose levels, resulting from the body's inability to produce or effectively utilize insulin. The primary symptoms often include increased thirst, frequent urination, unexplained weight loss, and fatigue, which can significantly impact daily functioning (Ref-s354799). In addition to these symptoms, patients may experience blurred vision and slow-healing wounds, indicating potential complications if the condition remains unmanaged. Two main types of diabetes mellitus exist: Type 1, an autoimmune disorder leading to the destruction of insulin-producing cells, and Type 2, associated with insulin resistance and often linked to lifestyle factors. Understanding these symptoms and their manifestations is crucial for early diagnosis and effective management, thereby reducing the risk of severe complications (Ref-s354799).</w:t>
      </w:r>
    </w:p>
    <w:p>
      <w:r>
        <w:t>Treatment Options</w:t>
      </w:r>
    </w:p>
    <w:p>
      <w:r>
        <w:t>The treatment of diabetes mellitus encompasses a range of strategies, from traditional methods such as lifestyle modifications and insulin therapy to more modern approaches like continuous glucose monitoring and the use of advanced medications. Lifestyle changes, including dietary adjustments and regular physical activity, remain foundational in managing both Type 1 and Type 2 diabetes. Insulin therapy is essential for Type 1 diabetes and may also be utilized in some cases of Type 2 diabetes to regulate blood glucose levels effectively. Recent advancements have introduced technologies such as continuous glucose monitors and insulin pumps, which provide real-time data and automate insulin delivery, enhancing the precision of diabetes management (Ref-f097104). Additionally, newer pharmaceutical developments, such as GLP-1 receptor agonists and SGLT2 inhibitors, offer alternative and supplementary options, targeting various physiological pathways to manage blood sugar levels and reduce cardiovascular risks (Ref-f097104).</w:t>
      </w:r>
    </w:p>
    <w:p>
      <w:r>
        <w:t>Historical Changes in Understanding or Treatment</w:t>
      </w:r>
    </w:p>
    <w:p>
      <w:r>
        <w:t>The understanding and treatment of diabetes mellitus have undergone significant transformations over the centuries, marked by notable milestones that have shaped current practices. Initially, diabetes was recognized as a condition of excessive urination and thirst, with ancient physicians offering rudimentary treatments based on dietary restrictions. The discovery of insulin in 1921 represented a groundbreaking advancement, transforming diabetes from a fatal disease into a manageable chronic condition (Ref-f055947). Over time, the development of oral hypoglycemic agents and advanced diagnostic tools has further refined treatment strategies, allowing for more individualized patient care. Furthermore, the advent of genetic and molecular research has deepened the comprehension of diabetes' pathophysiology, paving the way for innovative therapeutic interventions and a more nuanced classification of the disease (Ref-f055947).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