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Factors Contributing to Recidivism Among Sex Offenders and Intervention Strategies</w:t>
      </w:r>
    </w:p>
    <w:p>
      <w:r>
        <w:t>Discussion post</w:t>
      </w:r>
    </w:p>
    <w:p>
      <w:r>
        <w:t>Cognitive distortions and emotional regulation issues are significant psychological factors that contribute to re-offending among sex offenders. These psychological patterns often involve justifications for harmful behaviors, which perpetuate the cycle of recidivism. According to G D'Urso et al. (2021), cognitive distortions such as minimizing harm or victim-blaming are closely linked to the likelihood of re-offending. To address these factors, interventions should target these maladaptive thought processes through cognitive-behavioral therapy (CBT). CBT has been effective in altering these distortions by helping offenders recognize and change their harmful beliefs and attitudes. By addressing these psychological elements, interventions can significantly reduce the potential for re-offending. This approach aligns with course concepts on modifying behavior through cognitive process interventions.</w:t>
      </w:r>
    </w:p>
    <w:p>
      <w:r>
        <w:t>Social factors also play a crucial role in the recidivism of sex offenders, particularly the lack of social support and integration into the community. Social isolation and stigmatization can increase the risk of re-offending by restricting access to supportive social networks. G D'Urso et al. (Ref-f923624) suggest that community-based programs that promote social inclusion and support networks can mitigate these risks. By enhancing social bonds and reducing stigma, these programs help offenders reintegrate into society, thus lowering the chances of recidivism. This approach connects with our course discussions on how social frameworks are vital in rehabilitation efforts. By providing offenders with the necessary support and acceptance, society can play a pivotal role in their successful reintegration.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