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Comparative</w:t>
      </w:r>
      <w:r>
        <w:t xml:space="preserve"> </w:t>
      </w:r>
      <w:r>
        <w:t xml:space="preserve">Analysis</w:t>
      </w:r>
      <w:r>
        <w:t xml:space="preserve"> </w:t>
      </w:r>
      <w:r>
        <w:t xml:space="preserve">of</w:t>
      </w:r>
      <w:r>
        <w:t xml:space="preserve"> </w:t>
      </w:r>
      <w:r>
        <w:t xml:space="preserve">Economic</w:t>
      </w:r>
      <w:r>
        <w:t xml:space="preserve"> </w:t>
      </w:r>
      <w:r>
        <w:t xml:space="preserve">Systems:</w:t>
      </w:r>
      <w:r>
        <w:t xml:space="preserve"> </w:t>
      </w:r>
      <w:r>
        <w:t xml:space="preserve">Communism,</w:t>
      </w:r>
      <w:r>
        <w:t xml:space="preserve"> </w:t>
      </w:r>
      <w:r>
        <w:t xml:space="preserve">Socialism,</w:t>
      </w:r>
      <w:r>
        <w:t xml:space="preserve"> </w:t>
      </w:r>
      <w:r>
        <w:t xml:space="preserve">and</w:t>
      </w:r>
      <w:r>
        <w:t xml:space="preserve"> </w:t>
      </w:r>
      <w:r>
        <w:t xml:space="preserve">Free</w:t>
      </w:r>
      <w:r>
        <w:t xml:space="preserve"> </w:t>
      </w:r>
      <w:r>
        <w:t xml:space="preserve">Markets</w:t>
      </w:r>
    </w:p>
    <w:bookmarkStart w:id="20" w:name="introduction"/>
    <w:p>
      <w:pPr>
        <w:pStyle w:val="Heading2"/>
      </w:pPr>
      <w:r>
        <w:t xml:space="preserve">Introduction</w:t>
      </w:r>
    </w:p>
    <w:p>
      <w:pPr>
        <w:pStyle w:val="FirstParagraph"/>
      </w:pPr>
      <w:r>
        <w:t xml:space="preserve">In the contemporary global landscape, the examination of economic systems such as communism, socialism, and free markets holds paramount importance for understanding their impact on societies. Each system embodies distinct principles and characteristics that shape economic policies and influence how resources are allocated and wealth is distributed. By exploring these systems, one can gain insights into the varying roles governments play in economic management and the incentives that drive economic activities. The comparison of these systems through real-world examples provides a comprehensive understanding of their functionality and effectiveness in diverse contexts. This exploration not only highlights the theoretical underpinnings of each system but also emphasizes their practical implications, offering valuable perspectives on their potential to address modern economic challenges.</w:t>
      </w:r>
    </w:p>
    <w:bookmarkEnd w:id="20"/>
    <w:bookmarkStart w:id="21" w:name="overview-of-economic-systems"/>
    <w:p>
      <w:pPr>
        <w:pStyle w:val="Heading2"/>
      </w:pPr>
      <w:r>
        <w:t xml:space="preserve">Overview of Economic Systems</w:t>
      </w:r>
    </w:p>
    <w:p>
      <w:pPr>
        <w:pStyle w:val="FirstParagraph"/>
      </w:pPr>
      <w:r>
        <w:t xml:space="preserve">Communism, socialism, and free markets each represent unique economic frameworks characterized by distinct principles and operational mechanisms. Communism advocates for collective ownership of resources, aiming to eliminate class distinctions by distributing wealth equitably among all citizens</w:t>
      </w:r>
      <w:r>
        <w:t xml:space="preserve"> </w:t>
      </w:r>
      <w:r>
        <w:t xml:space="preserve">(Kornai)</w:t>
      </w:r>
      <w:r>
        <w:t xml:space="preserve">. In contrast, socialism emphasizes both public and cooperative ownership, with the government playing a significant role in managing resources to ensure social welfare and reduce inequalities</w:t>
      </w:r>
      <w:r>
        <w:t xml:space="preserve"> </w:t>
      </w:r>
      <w:r>
        <w:t xml:space="preserve">(Szelenyi and Manchin 102–40)</w:t>
      </w:r>
      <w:r>
        <w:t xml:space="preserve">. Free markets, on the other hand, prioritize minimal government intervention, allowing supply and demand dynamics to dictate economic activities and resource allocation. This system encourages private ownership and economic incentives to foster competition and innovation. Understanding these foundational characteristics provides a crucial basis for analyzing the implications and real-world applications of these economic systems.</w:t>
      </w:r>
    </w:p>
    <w:p>
      <w:pPr>
        <w:pStyle w:val="BodyText"/>
      </w:pPr>
      <w:r>
        <w:t xml:space="preserve">China, Sweden, and the United States offer illustrative examples of how communism, socialism, and free markets operate in practice. In China, the communist regime maintains a predominant role in the economy, with state-owned enterprises controlling significant sectors, while market reforms have introduced elements of competition and private entrepreneurship</w:t>
      </w:r>
      <w:r>
        <w:t xml:space="preserve"> </w:t>
      </w:r>
      <w:r>
        <w:t xml:space="preserve">(Kornai)</w:t>
      </w:r>
      <w:r>
        <w:t xml:space="preserve">. Sweden, as a representative of socialism, integrates substantial government intervention with a robust welfare state that ensures equitable resource distribution, yet allows for private enterprise and market-driven sectors</w:t>
      </w:r>
      <w:r>
        <w:t xml:space="preserve"> </w:t>
      </w:r>
      <w:r>
        <w:t xml:space="preserve">(Yan et al. 762–69)</w:t>
      </w:r>
      <w:r>
        <w:t xml:space="preserve">. In contrast, the United States epitomizes free market principles, characterized by minimal regulatory oversight and a strong emphasis on private ownership and competitive markets, driving innovation and economic growth. These case studies underscore the diversity of economic structures and their adaptable nature in addressing country-specific challenges, highlighting the nuanced application of theoretical principles in real-world contexts.</w:t>
      </w:r>
    </w:p>
    <w:bookmarkEnd w:id="21"/>
    <w:bookmarkStart w:id="22" w:name="advantages-and-disadvantages"/>
    <w:p>
      <w:pPr>
        <w:pStyle w:val="Heading2"/>
      </w:pPr>
      <w:r>
        <w:t xml:space="preserve">Advantages and Disadvantages</w:t>
      </w:r>
    </w:p>
    <w:p>
      <w:pPr>
        <w:pStyle w:val="FirstParagraph"/>
      </w:pPr>
      <w:r>
        <w:t xml:space="preserve">The economic systems of communism, socialism, and free markets present distinct approaches to ownership of resources, each with inherent advantages and disadvantages. In communism, the collective ownership of resources aims to eliminate class disparities and ensure equitable distribution of wealth, though it often results in limited individual economic incentives and reduced efficiency</w:t>
      </w:r>
      <w:r>
        <w:t xml:space="preserve"> </w:t>
      </w:r>
      <w:r>
        <w:t xml:space="preserve">(Kornai)</w:t>
      </w:r>
      <w:r>
        <w:t xml:space="preserve">. Socialism combines public and cooperative ownership with government-managed resources, striving to balance social welfare with economic productivity; however, this can lead to bureaucratic inefficiencies and potential stifling of innovation</w:t>
      </w:r>
      <w:r>
        <w:t xml:space="preserve"> </w:t>
      </w:r>
      <w:r>
        <w:t xml:space="preserve">(Szelenyi and Manchin 102–40)</w:t>
      </w:r>
      <w:r>
        <w:t xml:space="preserve">. Free markets, emphasizing private ownership and minimal government intervention, facilitate economic incentives and innovation, yet they can exacerbate wealth disparities and lead to resource misallocation during economic downturns. Understanding these dynamics through peer-reviewed analyses provides insights into how each system navigates the roles of ownership, government, and economic incentives in shaping societal outcomes.</w:t>
      </w:r>
    </w:p>
    <w:p>
      <w:pPr>
        <w:pStyle w:val="BodyText"/>
      </w:pPr>
      <w:r>
        <w:t xml:space="preserve">Evaluating the advantages and disadvantages of communism, socialism, and free markets requires a nuanced understanding of their impact on efficiency, equity, innovation, and economic freedom. Communism, with its emphasis on collective ownership, aims to achieve equitable wealth distribution; however, it frequently encounters challenges in fostering innovation and maintaining economic efficiency due to the absence of individual incentives</w:t>
      </w:r>
      <w:r>
        <w:t xml:space="preserve"> </w:t>
      </w:r>
      <w:r>
        <w:t xml:space="preserve">(Kornai)</w:t>
      </w:r>
      <w:r>
        <w:t xml:space="preserve">. Socialism attempts to balance economic productivity with social welfare, offering a more equitable distribution of resources through government intervention, yet it can be hampered by bureaucratic inefficiencies that may stifle innovation</w:t>
      </w:r>
      <w:r>
        <w:t xml:space="preserve"> </w:t>
      </w:r>
      <w:r>
        <w:t xml:space="preserve">(Szelenyi and Manchin 102–40)</w:t>
      </w:r>
      <w:r>
        <w:t xml:space="preserve">. In contrast, free markets prioritize economic freedom and innovation through minimal government intervention and competition, but this often leads to significant wealth disparities and resource misallocation during economic fluctuations. These systems' varying approaches to resource management illustrate their differing capacities to address societal needs and economic challenges, reflecting both theoretical ideals and practical limitations in real-world applications.</w:t>
      </w:r>
    </w:p>
    <w:p>
      <w:pPr>
        <w:pStyle w:val="BodyText"/>
      </w:pPr>
      <w:r>
        <w:t xml:space="preserve">The implications of communism, socialism, and free markets on global economic trends and potential future developments are profound and diverse. As global economies grapple with increasing inequality and environmental challenges, the adaptability of these systems is crucial. Recent academic forecasts indicate that the flexibility of free markets may lead to rapid technological advancements, albeit with potential for widened social disparities</w:t>
      </w:r>
      <w:r>
        <w:t xml:space="preserve"> </w:t>
      </w:r>
      <w:r>
        <w:t xml:space="preserve">(Yan et al. 762–69)</w:t>
      </w:r>
      <w:r>
        <w:t xml:space="preserve">. Socialism's emphasis on social welfare could offer solutions to these inequalities, yet its potential bureaucratic inefficiencies may hinder swift adaptation to global shifts</w:t>
      </w:r>
      <w:r>
        <w:t xml:space="preserve"> </w:t>
      </w:r>
      <w:r>
        <w:t xml:space="preserve">(Szelenyi and Manchin 102–40)</w:t>
      </w:r>
      <w:r>
        <w:t xml:space="preserve">. Meanwhile, communism's focus on equitable resource distribution may appeal to nations seeking to address wealth gaps, but its historical inefficiencies could pose challenges in a rapidly evolving economic landscape</w:t>
      </w:r>
      <w:r>
        <w:t xml:space="preserve"> </w:t>
      </w:r>
      <w:r>
        <w:t xml:space="preserve">(Kornai)</w:t>
      </w:r>
      <w:r>
        <w:t xml:space="preserve">. These systems' interactions with global trends highlight their potential roles in shaping future economic policies and strategies.</w:t>
      </w:r>
    </w:p>
    <w:bookmarkEnd w:id="22"/>
    <w:bookmarkStart w:id="23" w:name="conclusion"/>
    <w:p>
      <w:pPr>
        <w:pStyle w:val="Heading2"/>
      </w:pPr>
      <w:r>
        <w:t xml:space="preserve">Conclusion</w:t>
      </w:r>
    </w:p>
    <w:p>
      <w:pPr>
        <w:pStyle w:val="FirstParagraph"/>
      </w:pPr>
      <w:r>
        <w:t xml:space="preserve">The comparative analysis of communism, socialism, and free markets reveals distinct attributes and inherent challenges associated with each economic system. Communism's focus on collective ownership aims for equitable wealth distribution but often struggles with efficiency and innovation. Socialism seeks a balance between public welfare and economic productivity, yet its dependency on government intervention can lead to bureaucratic inefficiencies. Free markets, characterized by private ownership and minimal regulation, foster innovation and economic growth but risk exacerbating wealth disparities and resource misallocation. These findings underscore the complexity of economic systems, highlighting the need for further research into hybrid approaches that could mitigate systemic weaknesses while enhancing strengths. Exploring these systems' adaptability in addressing modern challenges, such as technological advancements and global inequality, could offer valuable insights for policymakers seeking sustainable economic solutions.</w:t>
      </w:r>
    </w:p>
    <w:bookmarkEnd w:id="23"/>
    <w:bookmarkStart w:id="24" w:name="works-cited"/>
    <w:bookmarkEnd w:id="24"/>
    <w:sectPr w:rsidR="002B6E8A">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0000A990"/>
    <w:multiLevelType w:val="multilevel"/>
    <w:tmpl w:val="D8223064"/>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
    <w:nsid w:val="0000A991"/>
    <w:multiLevelType w:val="multilevel"/>
    <w:tmpl w:val="F50A2712"/>
    <w:lvl w:ilvl="0">
      <w:numFmt w:val="bullet"/>
      <w:pStyle w:val="Compac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2">
    <w:nsid w:val="00A99201"/>
    <w:multiLevelType w:val="multilevel"/>
    <w:tmpl w:val="EA16F220"/>
    <w:lvl w:ilvl="0">
      <w:start w:val="1"/>
      <w:numFmt w:val="decimal"/>
      <w:lvlText w:val="%1."/>
      <w:lvlJc w:val="left"/>
      <w:pPr>
        <w:ind w:hanging="480" w:left="720"/>
      </w:pPr>
    </w:lvl>
    <w:lvl w:ilvl="1">
      <w:start w:val="1"/>
      <w:numFmt w:val="lowerLetter"/>
      <w:lvlText w:val="%2."/>
      <w:lvlJc w:val="left"/>
      <w:pPr>
        <w:ind w:hanging="480" w:left="1440"/>
      </w:pPr>
    </w:lvl>
    <w:lvl w:ilvl="2">
      <w:start w:val="1"/>
      <w:numFmt w:val="lowerRoman"/>
      <w:lvlText w:val="%3."/>
      <w:lvlJc w:val="left"/>
      <w:pPr>
        <w:ind w:hanging="480" w:left="2160"/>
      </w:pPr>
    </w:lvl>
    <w:lvl w:ilvl="3">
      <w:start w:val="1"/>
      <w:numFmt w:val="decimal"/>
      <w:lvlText w:val="%4."/>
      <w:lvlJc w:val="left"/>
      <w:pPr>
        <w:ind w:hanging="480" w:left="2880"/>
      </w:pPr>
    </w:lvl>
    <w:lvl w:ilvl="4">
      <w:start w:val="1"/>
      <w:numFmt w:val="lowerLetter"/>
      <w:lvlText w:val="%5."/>
      <w:lvlJc w:val="left"/>
      <w:pPr>
        <w:ind w:hanging="480" w:left="3600"/>
      </w:pPr>
    </w:lvl>
    <w:lvl w:ilvl="5">
      <w:start w:val="1"/>
      <w:numFmt w:val="lowerRoman"/>
      <w:lvlText w:val="%6."/>
      <w:lvlJc w:val="left"/>
      <w:pPr>
        <w:ind w:hanging="480" w:left="4320"/>
      </w:pPr>
    </w:lvl>
    <w:lvl w:ilvl="6">
      <w:start w:val="1"/>
      <w:numFmt w:val="decimal"/>
      <w:lvlText w:val="%7."/>
      <w:lvlJc w:val="left"/>
      <w:pPr>
        <w:ind w:hanging="480" w:left="5040"/>
      </w:pPr>
    </w:lvl>
    <w:lvl w:ilvl="7">
      <w:start w:val="1"/>
      <w:numFmt w:val="lowerLetter"/>
      <w:lvlText w:val="%8."/>
      <w:lvlJc w:val="left"/>
      <w:pPr>
        <w:ind w:hanging="480" w:left="5760"/>
      </w:pPr>
    </w:lvl>
    <w:lvl w:ilvl="8">
      <w:start w:val="1"/>
      <w:numFmt w:val="lowerRoman"/>
      <w:lvlText w:val="%9."/>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065130168" w:numId="1">
    <w:abstractNumId w:val="0"/>
  </w:num>
  <w:num w16cid:durableId="2021618420" w:numId="2">
    <w:abstractNumId w:val="1"/>
  </w:num>
  <w:num w16cid:durableId="1817140679"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72D5E"/>
    <w:pPr>
      <w:spacing w:after="0" w:line="480" w:lineRule="auto"/>
    </w:pPr>
    <w:rPr>
      <w:rFonts w:ascii="Times New Roman" w:cs="Times New Roman" w:hAnsi="Times New Roman"/>
    </w:rPr>
  </w:style>
  <w:style w:styleId="Heading1" w:type="paragraph">
    <w:name w:val="heading 1"/>
    <w:basedOn w:val="Normal"/>
    <w:next w:val="BodyText"/>
    <w:uiPriority w:val="9"/>
    <w:qFormat/>
    <w:rsid w:val="00044EDA"/>
    <w:pPr>
      <w:keepNext/>
      <w:keepLines/>
      <w:outlineLvl w:val="0"/>
    </w:pPr>
    <w:rPr>
      <w:rFonts w:eastAsiaTheme="majorEastAsia"/>
      <w:b/>
      <w:bCs/>
      <w:sz w:val="28"/>
      <w:szCs w:val="28"/>
    </w:rPr>
  </w:style>
  <w:style w:styleId="Heading2" w:type="paragraph">
    <w:name w:val="heading 2"/>
    <w:basedOn w:val="Normal"/>
    <w:next w:val="BodyText"/>
    <w:uiPriority w:val="9"/>
    <w:unhideWhenUsed/>
    <w:qFormat/>
    <w:rsid w:val="00825637"/>
    <w:pPr>
      <w:keepNext/>
      <w:keepLines/>
      <w:outlineLvl w:val="1"/>
    </w:pPr>
    <w:rPr>
      <w:rFonts w:eastAsiaTheme="majorEastAsia"/>
      <w:b/>
      <w:bCs/>
    </w:rPr>
  </w:style>
  <w:style w:styleId="Heading3" w:type="paragraph">
    <w:name w:val="heading 3"/>
    <w:basedOn w:val="Normal"/>
    <w:next w:val="BodyText"/>
    <w:uiPriority w:val="9"/>
    <w:unhideWhenUsed/>
    <w:qFormat/>
    <w:rsid w:val="00E749AF"/>
    <w:pPr>
      <w:keepNext/>
      <w:keepLines/>
      <w:outlineLvl w:val="2"/>
    </w:pPr>
    <w:rPr>
      <w:rFonts w:eastAsiaTheme="majorEastAsia"/>
      <w:b/>
      <w:bCs/>
      <w:i/>
      <w:iCs/>
    </w:rPr>
  </w:style>
  <w:style w:styleId="Heading4" w:type="paragraph">
    <w:name w:val="heading 4"/>
    <w:basedOn w:val="Normal"/>
    <w:next w:val="BodyText"/>
    <w:uiPriority w:val="9"/>
    <w:unhideWhenUsed/>
    <w:qFormat/>
    <w:rsid w:val="00C3195F"/>
    <w:pPr>
      <w:keepNext/>
      <w:keepLines/>
      <w:ind w:firstLine="720"/>
      <w:outlineLvl w:val="3"/>
    </w:pPr>
    <w:rPr>
      <w:rFonts w:eastAsiaTheme="majorEastAsia"/>
      <w:b/>
      <w:iCs/>
    </w:rPr>
  </w:style>
  <w:style w:styleId="Heading5" w:type="paragraph">
    <w:name w:val="heading 5"/>
    <w:basedOn w:val="Normal"/>
    <w:next w:val="BodyText"/>
    <w:uiPriority w:val="9"/>
    <w:unhideWhenUsed/>
    <w:qFormat/>
    <w:pPr>
      <w:keepNext/>
      <w:keepLines/>
      <w:spacing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8D1505"/>
  </w:style>
  <w:style w:customStyle="1" w:styleId="FirstParagraph" w:type="paragraph">
    <w:name w:val="First Paragraph"/>
    <w:basedOn w:val="BodyText"/>
    <w:next w:val="BodyText"/>
    <w:qFormat/>
    <w:rsid w:val="00D61D6D"/>
  </w:style>
  <w:style w:customStyle="1" w:styleId="Compact" w:type="paragraph">
    <w:name w:val="Compact"/>
    <w:basedOn w:val="BodyText"/>
    <w:qFormat/>
    <w:rsid w:val="00B12F51"/>
    <w:pPr>
      <w:numPr>
        <w:numId w:val="2"/>
      </w:numPr>
      <w:spacing w:after="36" w:before="36"/>
    </w:pPr>
  </w:style>
  <w:style w:styleId="Title" w:type="paragraph">
    <w:name w:val="Title"/>
    <w:basedOn w:val="Normal"/>
    <w:next w:val="BodyText"/>
    <w:qFormat/>
    <w:rsid w:val="00044EDA"/>
    <w:pPr>
      <w:keepNext/>
      <w:keepLines/>
      <w:jc w:val="center"/>
    </w:pPr>
    <w:rPr>
      <w:rFonts w:eastAsiaTheme="majorEastAsia"/>
      <w:b/>
      <w:bCs/>
      <w:sz w:val="28"/>
      <w:szCs w:val="28"/>
    </w:rPr>
  </w:style>
  <w:style w:styleId="Subtitle" w:type="paragraph">
    <w:name w:val="Subtitle"/>
    <w:basedOn w:val="Title"/>
    <w:next w:val="BodyText"/>
    <w:qFormat/>
    <w:pPr>
      <w:spacing w:after="240"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sid w:val="008D1505"/>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hAnsiTheme="majorHAnsi"/>
      <w:b w:val="0"/>
      <w:bCs w:val="0"/>
      <w:color w:themeColor="accent1" w:themeShade="BF" w:val="365F91"/>
    </w:rPr>
  </w:style>
  <w:style w:customStyle="1" w:styleId="SourceCode" w:type="paragraph">
    <w:name w:val="Source Code"/>
    <w:basedOn w:val="Normal"/>
    <w:link w:val="VerbatimChar"/>
    <w:pPr>
      <w:wordWrap w:val="0"/>
    </w:pPr>
  </w:style>
  <w:style w:customStyle="1" w:styleId="KeywordTok" w:type="character">
    <w:name w:val="KeywordTok"/>
    <w:basedOn w:val="VerbatimChar"/>
    <w:rPr>
      <w:rFonts w:ascii="Consolas" w:hAnsi="Consolas"/>
      <w:b/>
      <w:color w:val="007020"/>
      <w:sz w:val="22"/>
    </w:rPr>
  </w:style>
  <w:style w:customStyle="1" w:styleId="DataTypeTok" w:type="character">
    <w:name w:val="DataTypeTok"/>
    <w:basedOn w:val="VerbatimChar"/>
    <w:rPr>
      <w:rFonts w:ascii="Consolas" w:hAnsi="Consolas"/>
      <w:color w:val="902000"/>
      <w:sz w:val="22"/>
    </w:rPr>
  </w:style>
  <w:style w:customStyle="1" w:styleId="DecValTok" w:type="character">
    <w:name w:val="DecValTok"/>
    <w:basedOn w:val="VerbatimChar"/>
    <w:rPr>
      <w:rFonts w:ascii="Consolas" w:hAnsi="Consolas"/>
      <w:color w:val="40A070"/>
      <w:sz w:val="22"/>
    </w:rPr>
  </w:style>
  <w:style w:customStyle="1" w:styleId="BaseNTok" w:type="character">
    <w:name w:val="BaseNTok"/>
    <w:basedOn w:val="VerbatimChar"/>
    <w:rPr>
      <w:rFonts w:ascii="Consolas" w:hAnsi="Consolas"/>
      <w:color w:val="40A070"/>
      <w:sz w:val="22"/>
    </w:rPr>
  </w:style>
  <w:style w:customStyle="1" w:styleId="FloatTok" w:type="character">
    <w:name w:val="FloatTok"/>
    <w:basedOn w:val="VerbatimChar"/>
    <w:rPr>
      <w:rFonts w:ascii="Consolas" w:hAnsi="Consolas"/>
      <w:color w:val="40A070"/>
      <w:sz w:val="22"/>
    </w:rPr>
  </w:style>
  <w:style w:customStyle="1" w:styleId="ConstantTok" w:type="character">
    <w:name w:val="ConstantTok"/>
    <w:basedOn w:val="VerbatimChar"/>
    <w:rPr>
      <w:rFonts w:ascii="Consolas" w:hAnsi="Consolas"/>
      <w:color w:val="880000"/>
      <w:sz w:val="22"/>
    </w:rPr>
  </w:style>
  <w:style w:customStyle="1" w:styleId="CharTok" w:type="character">
    <w:name w:val="CharTok"/>
    <w:basedOn w:val="VerbatimChar"/>
    <w:rPr>
      <w:rFonts w:ascii="Consolas" w:hAnsi="Consolas"/>
      <w:color w:val="4070A0"/>
      <w:sz w:val="22"/>
    </w:rPr>
  </w:style>
  <w:style w:customStyle="1" w:styleId="SpecialCharTok" w:type="character">
    <w:name w:val="SpecialCharTok"/>
    <w:basedOn w:val="VerbatimChar"/>
    <w:rPr>
      <w:rFonts w:ascii="Consolas" w:hAnsi="Consolas"/>
      <w:color w:val="4070A0"/>
      <w:sz w:val="22"/>
    </w:rPr>
  </w:style>
  <w:style w:customStyle="1" w:styleId="StringTok" w:type="character">
    <w:name w:val="StringTok"/>
    <w:basedOn w:val="VerbatimChar"/>
    <w:rPr>
      <w:rFonts w:ascii="Consolas" w:hAnsi="Consolas"/>
      <w:color w:val="4070A0"/>
      <w:sz w:val="22"/>
    </w:rPr>
  </w:style>
  <w:style w:customStyle="1" w:styleId="VerbatimStringTok" w:type="character">
    <w:name w:val="VerbatimStringTok"/>
    <w:basedOn w:val="VerbatimChar"/>
    <w:rPr>
      <w:rFonts w:ascii="Consolas" w:hAnsi="Consolas"/>
      <w:color w:val="4070A0"/>
      <w:sz w:val="22"/>
    </w:rPr>
  </w:style>
  <w:style w:customStyle="1" w:styleId="SpecialStringTok" w:type="character">
    <w:name w:val="SpecialStringTok"/>
    <w:basedOn w:val="VerbatimChar"/>
    <w:rPr>
      <w:rFonts w:ascii="Consolas" w:hAnsi="Consolas"/>
      <w:color w:val="BB6688"/>
      <w:sz w:val="22"/>
    </w:rPr>
  </w:style>
  <w:style w:customStyle="1" w:styleId="ImportTok" w:type="character">
    <w:name w:val="ImportTok"/>
    <w:basedOn w:val="VerbatimChar"/>
    <w:rPr>
      <w:rFonts w:ascii="Consolas" w:hAnsi="Consolas"/>
      <w:b/>
      <w:color w:val="008000"/>
      <w:sz w:val="22"/>
    </w:rPr>
  </w:style>
  <w:style w:customStyle="1" w:styleId="CommentTok" w:type="character">
    <w:name w:val="CommentTok"/>
    <w:basedOn w:val="VerbatimChar"/>
    <w:rPr>
      <w:rFonts w:ascii="Consolas" w:hAnsi="Consolas"/>
      <w:i/>
      <w:color w:val="60A0B0"/>
      <w:sz w:val="22"/>
    </w:rPr>
  </w:style>
  <w:style w:customStyle="1" w:styleId="DocumentationTok" w:type="character">
    <w:name w:val="DocumentationTok"/>
    <w:basedOn w:val="VerbatimChar"/>
    <w:rPr>
      <w:rFonts w:ascii="Consolas" w:hAnsi="Consolas"/>
      <w:i/>
      <w:color w:val="BA2121"/>
      <w:sz w:val="22"/>
    </w:rPr>
  </w:style>
  <w:style w:customStyle="1" w:styleId="AnnotationTok" w:type="character">
    <w:name w:val="AnnotationTok"/>
    <w:basedOn w:val="VerbatimChar"/>
    <w:rPr>
      <w:rFonts w:ascii="Consolas" w:hAnsi="Consolas"/>
      <w:b/>
      <w:i/>
      <w:color w:val="60A0B0"/>
      <w:sz w:val="22"/>
    </w:rPr>
  </w:style>
  <w:style w:customStyle="1" w:styleId="CommentVarTok" w:type="character">
    <w:name w:val="CommentVarTok"/>
    <w:basedOn w:val="VerbatimChar"/>
    <w:rPr>
      <w:rFonts w:ascii="Consolas" w:hAnsi="Consolas"/>
      <w:b/>
      <w:i/>
      <w:color w:val="60A0B0"/>
      <w:sz w:val="22"/>
    </w:rPr>
  </w:style>
  <w:style w:customStyle="1" w:styleId="OtherTok" w:type="character">
    <w:name w:val="OtherTok"/>
    <w:basedOn w:val="VerbatimChar"/>
    <w:rPr>
      <w:rFonts w:ascii="Consolas" w:hAnsi="Consolas"/>
      <w:color w:val="007020"/>
      <w:sz w:val="22"/>
    </w:rPr>
  </w:style>
  <w:style w:customStyle="1" w:styleId="FunctionTok" w:type="character">
    <w:name w:val="FunctionTok"/>
    <w:basedOn w:val="VerbatimChar"/>
    <w:rPr>
      <w:rFonts w:ascii="Consolas" w:hAnsi="Consolas"/>
      <w:color w:val="06287E"/>
      <w:sz w:val="22"/>
    </w:rPr>
  </w:style>
  <w:style w:customStyle="1" w:styleId="VariableTok" w:type="character">
    <w:name w:val="VariableTok"/>
    <w:basedOn w:val="VerbatimChar"/>
    <w:rPr>
      <w:rFonts w:ascii="Consolas" w:hAnsi="Consolas"/>
      <w:color w:val="19177C"/>
      <w:sz w:val="22"/>
    </w:rPr>
  </w:style>
  <w:style w:customStyle="1" w:styleId="ControlFlowTok" w:type="character">
    <w:name w:val="ControlFlowTok"/>
    <w:basedOn w:val="VerbatimChar"/>
    <w:rPr>
      <w:rFonts w:ascii="Consolas" w:hAnsi="Consolas"/>
      <w:b/>
      <w:color w:val="007020"/>
      <w:sz w:val="22"/>
    </w:rPr>
  </w:style>
  <w:style w:customStyle="1" w:styleId="OperatorTok" w:type="character">
    <w:name w:val="OperatorTok"/>
    <w:basedOn w:val="VerbatimChar"/>
    <w:rPr>
      <w:rFonts w:ascii="Consolas" w:hAnsi="Consolas"/>
      <w:color w:val="666666"/>
      <w:sz w:val="22"/>
    </w:rPr>
  </w:style>
  <w:style w:customStyle="1" w:styleId="BuiltInTok" w:type="character">
    <w:name w:val="BuiltInTok"/>
    <w:basedOn w:val="VerbatimChar"/>
    <w:rPr>
      <w:rFonts w:ascii="Consolas" w:hAnsi="Consolas"/>
      <w:color w:val="008000"/>
      <w:sz w:val="22"/>
    </w:rPr>
  </w:style>
  <w:style w:customStyle="1" w:styleId="ExtensionTok" w:type="character">
    <w:name w:val="ExtensionTok"/>
    <w:basedOn w:val="VerbatimChar"/>
    <w:rPr>
      <w:rFonts w:ascii="Consolas" w:hAnsi="Consolas"/>
      <w:sz w:val="22"/>
    </w:rPr>
  </w:style>
  <w:style w:customStyle="1" w:styleId="PreprocessorTok" w:type="character">
    <w:name w:val="PreprocessorTok"/>
    <w:basedOn w:val="VerbatimChar"/>
    <w:rPr>
      <w:rFonts w:ascii="Consolas" w:hAnsi="Consolas"/>
      <w:color w:val="BC7A00"/>
      <w:sz w:val="22"/>
    </w:rPr>
  </w:style>
  <w:style w:customStyle="1" w:styleId="AttributeTok" w:type="character">
    <w:name w:val="AttributeTok"/>
    <w:basedOn w:val="VerbatimChar"/>
    <w:rPr>
      <w:rFonts w:ascii="Consolas" w:hAnsi="Consolas"/>
      <w:color w:val="7D9029"/>
      <w:sz w:val="22"/>
    </w:rPr>
  </w:style>
  <w:style w:customStyle="1" w:styleId="RegionMarkerTok" w:type="character">
    <w:name w:val="RegionMarkerTok"/>
    <w:basedOn w:val="VerbatimChar"/>
    <w:rPr>
      <w:rFonts w:ascii="Consolas" w:hAnsi="Consolas"/>
      <w:sz w:val="22"/>
    </w:rPr>
  </w:style>
  <w:style w:customStyle="1" w:styleId="InformationTok" w:type="character">
    <w:name w:val="InformationTok"/>
    <w:basedOn w:val="VerbatimChar"/>
    <w:rPr>
      <w:rFonts w:ascii="Consolas" w:hAnsi="Consolas"/>
      <w:b/>
      <w:i/>
      <w:color w:val="60A0B0"/>
      <w:sz w:val="22"/>
    </w:rPr>
  </w:style>
  <w:style w:customStyle="1" w:styleId="WarningTok" w:type="character">
    <w:name w:val="WarningTok"/>
    <w:basedOn w:val="VerbatimChar"/>
    <w:rPr>
      <w:rFonts w:ascii="Consolas" w:hAnsi="Consolas"/>
      <w:b/>
      <w:i/>
      <w:color w:val="60A0B0"/>
      <w:sz w:val="22"/>
    </w:rPr>
  </w:style>
  <w:style w:customStyle="1" w:styleId="AlertTok" w:type="character">
    <w:name w:val="AlertTok"/>
    <w:basedOn w:val="VerbatimChar"/>
    <w:rPr>
      <w:rFonts w:ascii="Consolas" w:hAnsi="Consolas"/>
      <w:b/>
      <w:color w:val="FF0000"/>
      <w:sz w:val="22"/>
    </w:rPr>
  </w:style>
  <w:style w:customStyle="1" w:styleId="ErrorTok" w:type="character">
    <w:name w:val="ErrorTok"/>
    <w:basedOn w:val="VerbatimChar"/>
    <w:rPr>
      <w:rFonts w:ascii="Consolas" w:hAnsi="Consolas"/>
      <w:b/>
      <w:color w:val="FF0000"/>
      <w:sz w:val="22"/>
    </w:rPr>
  </w:style>
  <w:style w:customStyle="1" w:styleId="NormalTok" w:type="character">
    <w:name w:val="NormalTok"/>
    <w:basedOn w:val="VerbatimChar"/>
    <w:rPr>
      <w:rFonts w:ascii="Consolas" w:hAnsi="Consolas"/>
      <w:sz w:val="22"/>
    </w:rPr>
  </w:style>
  <w:style w:customStyle="1" w:styleId="Centered" w:type="paragraph">
    <w:name w:val="Centered"/>
    <w:basedOn w:val="BodyText"/>
    <w:qFormat/>
    <w:rsid w:val="00133C1B"/>
    <w:pPr>
      <w:jc w:val="center"/>
    </w:pPr>
  </w:style>
  <w:style w:customStyle="1" w:styleId="Right-aligned" w:type="paragraph">
    <w:name w:val="Right-aligned"/>
    <w:basedOn w:val="BodyText"/>
    <w:qFormat/>
    <w:rsid w:val="00B448E2"/>
    <w:pPr>
      <w:jc w:val="righ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39</Words>
  <Characters>223</Characters>
  <Application>Microsoft Office Word</Application>
  <DocSecurity>0</DocSecurity>
  <Lines>1</Lines>
  <Paragraphs>1</Paragraphs>
  <ScaleCrop>false</ScaleCrop>
  <Company/>
  <LinksUpToDate>false</LinksUpToDate>
  <CharactersWithSpaces>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Comparative Analysis of Economic Systems: Communism, Socialism, and Free Markets</dc:title>
  <dc:creator/>
  <dc:language>en</dc:language>
  <cp:keywords/>
  <dcterms:created xsi:type="dcterms:W3CDTF">2025-01-31T15:36:31Z</dcterms:created>
  <dcterms:modified xsi:type="dcterms:W3CDTF">2025-01-31T15:36:31Z</dcterms:modified>
</cp:coreProperties>
</file>

<file path=docProps/custom.xml><?xml version="1.0" encoding="utf-8"?>
<Properties xmlns="http://schemas.openxmlformats.org/officeDocument/2006/custom-properties" xmlns:vt="http://schemas.openxmlformats.org/officeDocument/2006/docPropsVTypes"/>
</file>