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Determining why any circumstance is aware rather than unconscious is a puzzling question in consciousness. According to Armstrong, first-individual consciousness is an outrageous-request capacity of insight: cognizance is a self-examining component of the focal sensory system. Another aspect of the focused sensory system is assumed to be filtered by some element. It is a good argument for consciousness because awareness of human thoughts portrays that we consciously live our lives.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