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particular, every country puts its own legal and political constraints, based on the culture accepted in the country. Even if the company’s communication strategy will be altered later, it may require a complete rebranding of the product, to diminish the impacts of the first negative response due to the inappropriate message. Therefore, insufficient research on a foreign country’s cultural heritage may result in significant monetary loss.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