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Antonyová, et al. (Ref-u733580), there are factors that directly impact the RL's successful application in firms. First, the strategic factors include environmental aspects, customer service, cost reduction, quality improvement, and legislative issues. Second, the operational factors, represented in recycling managing supply, remanufacturing, cost-benefit analysis, warehousing, packaging, and transportation. Every organization should identify its strategic and operational factors based on its materials, production process, and packaging that ensures the protection of products during the transportation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