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Because partnerships are so important in the business sector, this truth is enhanced in the situation of well-functioning logistics activities. Walmart's SCM is very productive, and it gives details on prosperous SCM methodologies to providers. It is recommended that before moving into new countries, the sociopolitical and geographical situations be thoroughly investigated. Previous to making the decision to expand, it is crucial that all shipping policies and rules dictating product flow be thoroughly examined. Walmart tends to rely on its suppliers, and their efficiency must be made a priority. Walmart must be conscious of the transmission &amp;amp; distribution constraints recognized by its suppliers. Although accomplishing 95 percent conformity is a valid criterion, Walmart should also be aware of things where suppliers are experiencing difficulties and work to resolve this situation. Many businesses rely upon the logistics network, and Walmart should bear in mind that this might be the only consumer for a provider in such cases.</w:t>
      </w:r>
    </w:p>
    <w:p>
      <w:r>
        <w:t>### Warehousing</w:t>
      </w:r>
    </w:p>
    <w:p>
      <w:r>
        <w:t>Walmart maintains a strong distribution channel. The total square footage of its US storage sites could cover roughly 19 percent of Manhattan's area. According to MWPVL International, "as of 2017, we discovered 173 Walmart and Sam's Club delivery locations in the United States amounting 125.8 million sq. ft." Each fulfillment center is roughly one million sq. ft in dimensions, employs over 600 people, and routinely employs over 200 cargos (Ref-DJ49F2).</w:t>
      </w:r>
    </w:p>
    <w:p>
      <w:r>
        <w:t>Walmart operates 42 regional general merchandise DCs in the United States. The centers serve as the company's business foundation and are equipped with a transmission system that regulates the distribution of materials assigned to each store. Other distribution networks involve 44 grocery DCs in charge of the mobility of dry grocery, milk and cheese, meat and fish, veggies, and refrigerated commodities, and also 7 fashionable DCs in charge of apparel and shoes. Walmart's most recent venture, online ordering, has contributed to the creation of 13 e-commerce distribution centers to handle the firm's online venture.</w:t>
      </w:r>
    </w:p>
    <w:p>
      <w:r>
        <w:t>Retailers who improperly handle and/or transport hazardous items face significant fines and penalties. Poor handling and transportation of such dangerous chemicals is a common issue for many of today's large retailers. Following the enforcement of huge sums of penalties for inappropriate hazardous item handling, Walmart formed its Environmental Compliance set of policies, which attempts to meet the following obligations:</w:t>
      </w:r>
    </w:p>
    <w:p>
      <w:r>
        <w:t>The shop was fined for disposing of hazardous waste in municipal garbage cans and sewer systems. It was accused of mishandling pesticides sent to the Missouri recycling facility and was fined more than $110 million for dangerous chemical mismanagement. Walmart works directly with manufacturers to implement waste treatment techniques, and it has devised an aerosol refilling initiative that has significantly decreased the amount of those cans that end up in landfills. Walmart has completed the implementation of a new IT system program focused on analyzing consumer product waste generation tendencies.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