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citizen’s right to travel has long been discussed and thought over in different countries. Transportation is tightly linked to security; thus, considering the right to travel a fundamental right that cannot be abridged needs appropriate regulations. The modern changes and advances make all the governments, including America, face new challenges and overcome them with contemporary methods.</w:t>
      </w:r>
    </w:p>
    <w:p>
      <w:r>
        <w:t>In 2001, the attack of 9\11 proved that the issue of ensuring security should be prioritized. Consequently, Congress immediately enacted the Air Transportation Security Act giving the federal sector the task of screening passengers. As a result, various screening systems have come to use, such as the Computer-Assisted Passenger Prescreening System (Ref-A1B2C3). Gradually, such systems have started to be used not only for air travel but also for rail systems to prevent terrorism.</w:t>
      </w:r>
    </w:p>
    <w:p>
      <w:r>
        <w:t>Transportation Security Administration has its form of complaint for citizens who will be dissatisfied with the screening process (TSA). Nevertheless, even US public transportation is considered a vulnerable target for terrorist attacks. Intercity trains, commuter rails, and the subway are overused daily, and they need proper security checks (Ref-J49F2K). Such measures are the only way to minimize the risks of future acts of terrorism.</w:t>
      </w:r>
    </w:p>
    <w:p>
      <w:r>
        <w:t>To summarize, even though traveling is a fundamental right for the US. Citizens, it needs to have safety control legally to prevent terrorism. Harmonizing security and civil rights is a big challenge, but it is of significant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