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BAV, Benign Pediatric Presentation shows no signs and symptoms of valve dysfunction. However, physical exam reveals:</w:t>
      </w:r>
    </w:p>
    <w:p>
      <w:r>
        <w:t>BAV associated with CoA most commonly presents with upper-extremity hypertension. Neonatal History is based on poor feeding. Occasionally, the child presents with CVA or aortic dissection. The physical findings in order of severity include the following:</w:t>
      </w:r>
    </w:p>
    <w:p>
      <w:r>
        <w:t>[Note: The systolic murmur continues throughout the diastole in older children. The ejection-click and low-pitched ejection systolic murmur of BAV is a consistent physical examination finding at the region of the upper-left sternal border].</w:t>
      </w:r>
    </w:p>
    <w:p>
      <w:r>
        <w:t>[Note: Indication for surgery in BAV (1) EKG changes (T-wave/ST- changes) with peak-to-peak gradients &amp;gt;50mmHg, at rest or exercise. (2) Benign presentation with peak-to-peak gradients &amp;gt;60mmHg].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