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Making a toy car for children can give them something to while away the time with. However, the toy car does not only serve as a fun object for the child aged 2 years and above but also aids in their general development. Considering the physical development, the child's continuous use of the hands to control the car steering helps to build his/her fine motor skills. Similarly, the design of the car is such that it is low enough to allow the child to climb in and out of the seat. This climbing in and out of either the driver's seat or passenger front seat builds the gross motor skills of the child.</w:t>
      </w:r>
    </w:p>
    <w:p>
      <w:r>
        <w:t>Additionally, the emotional development of the child is impacted. The child develops positive emotions as they successfully steer the car to his/her intended destination. More so, by trying to either remove obstacles on the path or steering the car through another route, the child learns to deal with unpleasant situations in better ways. Having to overcome obstacles or hindrances on his or her path while playing with the toy car will consequently help the child to develop emotional stability and the ability to overcome their frustrations by devising means out of a predicament. Also, having a space for another child right beside the driver's seat allows the child to be in and appreciate the company of others, thereby contributing to the child's social and relational development.</w:t>
      </w:r>
    </w:p>
    <w:p>
      <w:r>
        <w:t>My electronic toy car is designed in such a way that the batteries are rechargeable and mimic the shape of the more common Benz C230. This resemblance makes playing with the car more reflective of real-world scenarios of the child and therefore increases the eagerness of the child to drive the car.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