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Consequently, the behavioral consequences of cocaine use are profound, manifesting in both short-term and long-term effects on users. In the short term, cocaine induces heightened states of euphoria, increased energy, and enhanced alertness due to its impact on neurotransmitter levels, specifically dopamine and norepinephrine (Ref-f850852). These immediate effects can lead to increased risk-taking behaviors and impaired judgment, which often contribute to the escalation of usage and potential legal or social problems. Over the long term, persistent use of cocaine results in significant alterations in brain function, which can lead to dependency and various psychological issues such as anxiety, paranoia, and depression (Ref-f850852). Additionally, chronic cocaine use is associated with severe physical health consequences, including cardiovascular complications and neurological damage, reflecting the comprehensive impact of this psychoactive drug on individuals' lives.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