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Admission rates in Pediatric Intensive Care Units (PICUs) have significant implications for healthcare systems, particularly in the areas of resource allocation and capacity management. High admission rates can strain existing resources, necessitating strategic planning to ensure adequate staffing, equipment, and bed availability to meet the demands of critically ill patients. This situation can be exacerbated during health crises, such as the COVID-19 pandemic, which highlighted the challenges of maintaining balance between patient care and resource limitations in North American PICUs (Ref-s644737). Moreover, fluctuating admission rates require healthcare systems to adopt flexible capacity management strategies, ensuring that PICUs can adapt to varying levels of patient influx without compromising the quality of care. Efficient management of these factors is crucial for optimizing PICU operations, ultimately improving patient outcomes and ensuring equitable access to essential critical care services across different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