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Contracts serve as vital mechanisms for facilitating specific value drivers, such as cost efficiency and innovation, within long-term buyer-supplier relationships. Cost efficiency is achieved through contracts that delineate clear cost structures and performance metrics, enabling organizations to optimize resource allocation and minimize waste (Ref-u345077). Innovation facilitation, on the other hand, is often embedded in contractual agreements through clauses that incentivize suppliers to develop novel solutions and technologies. These contracts may provide structured avenues for collaboration and knowledge sharing, which are essential for fostering an environment conducive to creativity and technological advancement (Ref-u345077). By incorporating these contractual elements, organizations can enhance their competitive positioning and ensure sustained value creation in long-term partnerships.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