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transparency of financial disclosures poses several challenges that can significantly influence investment intentions. One prominent issue is the complexity of financial statements, which often deters potential investors due to a lack of understanding and perceived opaqueness (Ref-s747963). Furthermore, inconsistencies in disclosure practices across different platforms can lead to confusion among investors, impacting their willingness to invest (Ref-s747963). Research indicates that the absence of standardized reporting frameworks exacerbates these challenges, as investors find it difficult to compare the financial health of firms accurately (Ref-s747963). Additionally, the rapid dissemination of information via social media platforms adds another layer of complexity, as not all disclosed information is perceived as reliable, which can hinder investment intentions (Ref-s747963).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