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trade and influence of tea in the 1800s marked a pivotal era in global commerce and cultural exchange. During this period, tea evolved from a regional specialty into a global commodity, deeply embedding itself within international trade networks. The burgeoning demand for tea was fueled by its appealing qualities and the cultural prestige it garnered across continents. As a result, the production and distribution of tea became a significant economic activity, influencing trade policies and geopolitical strategies of major powers (Ref-u482274). This transformation not only altered consumption patterns but also underscored the intricate connections between economic growth and cultural practices, highlighting tea's role as a catalyst for global interaction and exchange (Ref-u482274).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