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analyzing Samantha's legal capacity to enter into a contract, her status as a minor plays a pivotal role, as contract law generally recognizes the limited capacity of minors in contractual agreements. Minors, typically defined as individuals under the age of eighteen, are often considered legally incapable of entering binding contracts, thus allowing them the ability to disaffirm or void such agreements. This legal principle protects minors from exploitation and ensures that they are not bound by decisions that may not fully comprehend the consequences (Ref-u876002). However, there are exceptions where a contract for necessities, such as food or clothing, may be deemed enforceable against a minor. Given these considerations, Samantha's age presents a substantial legal hurdle in forming a valid contract with Bruce for the antique piano, permitting her to potentially void the agreement if challenged.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