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attract candidates who are willing to work weekends, Carrie can explore several additional HR strategies focused on incentives and flexible scheduling options. Offering financial incentives, such as weekend shift differentials or bonuses, can make these shifts more appealing and financially rewarding for potential hires (Ref-s608440). Additionally, implementing flexible scheduling options, such as self-scheduling systems, can empower nurses to have more control over their work hours, accommodating their preferences while ensuring coverage during critical weekend shifts (Ref-s608440). By promoting a supportive work environment through these strategies, Carrie can enhance job satisfaction and attract a broader pool of candidates who are willing to meet the hospital's staffing needs. Moreover, these approaches can help build a positive organizational culture that values and supports its nursing staff, ultimately contributing to improved recruitment and retention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