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concept of biblical inerrancy, as outlined in Erickson’s text and The Chicago Statement on Biblical Inerrancy, asserts that the Bible, in its original manuscripts, is without error in all its affirmations, including historical and scientific details. Historically, this doctrine has significantly influenced evangelical thought, underscoring the authority of scripture as a foundational element of faith. Erickson highlights the challenges in interpreting inerrancy, noting that it requires a nuanced understanding of textual contexts and intentions. The doctrine’s theological significance lies in its role in upholding scriptural authority, which is pivotal in hermeneutics—the study of interpreting biblical texts. These interpretations affect theological perspectives, prompting us to consider how inerrancy shapes our understanding of divine truth and scriptural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