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Examining specific case studies provides valuable insights into the effects of varied homework policies on student outcomes. For instance, schools that have implemented strict homework guidelines often report improvements in academic performance, as consistent homework reinforces learning and consolidates classroom instruction (Ref-f963229). Conversely, some institutions have drastically reduced or eliminated homework, citing the need to alleviate student stress and enhance engagement in extracurricular activities (Ref-f963229). Such measures have resulted in mixed outcomes; while some students exhibit improved well-being and participation in non-academic pursuits, others experience a decline in academic discipline and time management skills (Ref-f963229). These examples highlight the diverse impacts of homework policies, emphasizing the necessity for schools to tailor their approaches to meet the unique needs of their student populations while maintaining educational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