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Traditional journalism and digital news media each offer distinct advantages and drawbacks, reflecting their adaptation to the evolving media landscape. Traditional journalism, with its rigorous editorial processes and fact-checking, maintains a commitment to accuracy and depth, thereby fostering public trust and credibility (Ref-s836183). However, its slower production cycle and reliance on physical distribution can limit its reach and immediacy compared to digital platforms. In contrast, digital news media excel in speed, accessibility, and audience engagement, providing real-time updates and interactive content; nevertheless, this rapid dissemination often compromises accuracy, contributing to the spread of misinformation (Ref-s836183). Additionally, while digital media's diverse revenue models, such as crowdfunding and native advertising, offer financial flexibility, they also present ethical challenges regarding the separation of editorial content from promotional material (Ref-s836183), highlighting the ongoing tension between financial imperatives and journalistic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