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creation of a sensorial artifact to communicate with intelligent extraterrestrial life holds the promise of bridging a profound interstellar divide. By integrating sound, tactile, visual, and olfactory elements, the artifact is designed to transcend the constraints of human language and engage diverse sensory experiences. Its potential impact lies in its ability to initiate a dialogue that fosters mutual understanding and curiosity between humans and other life forms. Reflecting on this endeavor, it becomes evident that the broader implications extend beyond mere contact; they challenge us to rethink our place in the universe and our assumptions about intelligence and communication. Ultimately, this project inspires a reimagining of the possibilities of interstellar communication, encouraging further exploration and innovation in our quest to connect with the unknown.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