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Considering a recent experience of seeking assistance, the initial hesitation stemmed from deeply ingrained feelings of vulnerability and pride. These emotions, as noted by anti-racist activists in their pursuit of liberation, reflect an awareness of power dynamics and personal identity within systemic structures (Ref-f355385). Prior to reaching out, there was an internal conflict between the desire for independence and the recognition of the benefits of mutual support. The response to my request, which was met with empathy and understanding, highlighted the potential for empowerment through collaborative interactions. This experience underscored the liberating potential of collective engagement, mirroring the strategies of activists who advocate for shared liberation through critical self-reflection and capacity building within communities (Ref-f355385).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