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imagined experiences of architectural structures vary significantly, influencing emotional responses and perceptions. A modern glass skyscraper, with its expansive glass facades, evokes feelings of openness and transparency, inviting occupants to sense a connection with the urban environment. In contrast, a Gothic cathedral, characterized by its towering spires and intricate stained glass, elicits feelings of awe and reverence, rooted in its historical and spiritual grandeur. These differences in architectural design elements shape distinct emotional landscapes, highlighting how architecture can manipulate space to provoke diverse psychological effects (Ref-u491313). By exploring these contrasting experiences, one can appreciate the profound impact that architectural forms have on human emotions and the perception of space, further underscoring the role of design in shaping our interaction with the built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