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real estate cycle is defined by its four sequential stages: recovery, expansion, hyper supply, and recession, each characterized by distinct market conditions and economic influences. During the recovery phase, property markets begin to rebound from a downturn, often supported by favorable interest rates that stimulate investment (Ref-f408009). As the cycle progresses to expansion, increased demand and economic growth indicators, such as rising GDP, fuel a surge in property development and sales. However, the hyper supply phase follows, marked by an oversaturation of the market, where increased construction outpaces demand, often leading to a subsequent recession (Ref-f408009). Economic indicators, including changes in employment rates and fluctuating interest rates, critically influence these stages, underscoring the interconnectedness of real estate cycles with broader economic trends (Ref-f408009).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