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During World War I, the Bersaglieri played a crucial role, adapting their tactics to the demands of trench warfare and the challenging environments of the Italian front. The unit's agility and rapid mobilization were leveraged in several key operations, where their ability to navigate difficult terrain provided a strategic advantage (Ref-u987322). The interwar period saw further evolution in their tactics and equipment, as the Bersaglieri incorporated mechanized vehicles and modern weaponry to enhance their operational effectiveness. This period of transformation enabled the Bersaglieri to maintain their relevance within the Italian military structure, as they shifted from purely infantry roles to more versatile combat functions (Ref-u987322). By investing in technological advancements and refining their training programs, the Bersaglieri remained a formidable force, capable of responding to the evolving nature of warfare throughout the early 20th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