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Exploring the practical aspects of the "good life" involves considering various personal factors such as living location, marriage, and family dynamics. The choice of where to live plays a crucial role in one's fulfillment, as different locations offer varying opportunities and lifestyles. Urban settings may provide career advancement and cultural experiences, while rural areas might offer tranquility and closer community ties. Marriage and family considerations also significantly impact the "good life," as they can provide emotional support and shared goals, but may also entail challenges in balancing personal aspirations with family responsibilities. According to Tahir (Ref-s384146), achieving a work-life balance is essential in this context, as it ensures that personal and familial commitments are harmoniously integrated, paving the way for a more fulfilling existence.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