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the realm of family dynamics, choosing a vacation destination often requires navigating a complex web of preferences and opinions. In one particular instance, our family faced the challenge of selecting a holiday location that would satisfy everyone, from the adventure-seeking teenagers to the comfort-loving grandparents. This decision-making process illuminated the intricate dynamics of group consensus, where individual biases subtly influenced the discussions. The role of such biases in group settings is well-documented, with research indicating that they can significantly hinder strategic decision-making (Ref-f514310). This reflection on our family's negotiation process provides a foundation for exploring how personal inclinations can shape group interactions and ultimately affect the final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