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Conflicts between ethical decisions and faith-based principles can arise when leaders face situations that challenge their moral convictions. For instance, a decision that aligns with business ethics might conflict with religious teachings that prioritize compassion and altruism. Resolving these conflicts requires a nuanced approach, where faith-based values are balanced with ethical standards to ensure decisions are both principled and pragmatic. According to Schwepker and Dimitriou, ethical leadership informed by faith can mitigate such conflicts by offering a stable ethical framework that guides decision-making while addressing potential ambiguities (Ref-u945815). Leaders can achieve resolution by engaging in reflective practices that consider the broader implications of their decisions, allowing them to uphold their core values while effectively navigating ethical dilemmas.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