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Skin aging is principally driven by biological mechanisms involving the degradation of collagen and a reduction in cell regeneration capacity. Collagen, a fundamental protein providing structural integrity to the skin, diminishes with age, leading to decreased firmness and the formation of wrinkles (Ref-s181874). This process is compounded by a decline in fibroblast activity, which is critical for producing collagen and other essential components of the skin matrix (Ref-s181874). Additionally, the regenerative ability of skin cells decreases, resulting in slower turnover and the accumulation of damaged cells, further affecting the skin's appearance and resilience (Ref-s181874). These intrinsic changes are pivotal in understanding the onset of skin aging, as they compromise the skin’s ability to repair itself, making it more susceptible to external stressors and contributing to the visible signs associated with aging.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